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7161"/>
        </w:tabs>
        <w:ind w:leftChars="0"/>
        <w:jc w:val="center"/>
        <w:rPr>
          <w:sz w:val="30"/>
        </w:rPr>
      </w:pPr>
      <w:r>
        <w:rPr>
          <w:sz w:val="30"/>
        </w:rPr>
        <mc:AlternateContent>
          <mc:Choice Requires="wps">
            <w:drawing>
              <wp:anchor distT="0" distB="0" distL="114300" distR="114300" simplePos="0" relativeHeight="251679744" behindDoc="0" locked="0" layoutInCell="1" allowOverlap="1">
                <wp:simplePos x="0" y="0"/>
                <wp:positionH relativeFrom="column">
                  <wp:posOffset>1885950</wp:posOffset>
                </wp:positionH>
                <wp:positionV relativeFrom="paragraph">
                  <wp:posOffset>2924175</wp:posOffset>
                </wp:positionV>
                <wp:extent cx="1828800" cy="182880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tabs>
                                <w:tab w:val="left" w:pos="7161"/>
                              </w:tabs>
                              <w:ind w:leftChars="0"/>
                              <w:jc w:val="both"/>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H</w: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B-20耐腐蚀隔膜泵</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48.5pt;margin-top:230.25pt;height:144pt;width:144pt;mso-wrap-distance-bottom:0pt;mso-wrap-distance-top:0pt;mso-wrap-style:none;z-index:251679744;mso-width-relative:page;mso-height-relative:page;" filled="f" stroked="f" coordsize="21600,21600" o:gfxdata="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RsNZF2gAAAAsB&#10;AAAPAAAAAAAAAAEAIAAAACIAAABkcnMvZG93bnJldi54bWxQSwECFAAUAAAACACHTuJALYHEdBkC&#10;AAAXBAAADgAAAAAAAAABACAAAAApAQAAZHJzL2Uyb0RvYy54bWxQSwUGAAAAAAYABgBZAQAAtAUA&#10;AAAA&#10;">
                <v:fill on="f" focussize="0,0"/>
                <v:stroke on="f" weight="0.5pt"/>
                <v:imagedata o:title=""/>
                <o:lock v:ext="edit" aspectratio="f"/>
                <v:textbox style="mso-fit-shape-to-text:t;">
                  <w:txbxContent>
                    <w:p>
                      <w:pPr>
                        <w:numPr>
                          <w:ilvl w:val="0"/>
                          <w:numId w:val="0"/>
                        </w:numPr>
                        <w:tabs>
                          <w:tab w:val="left" w:pos="7161"/>
                        </w:tabs>
                        <w:ind w:leftChars="0"/>
                        <w:jc w:val="both"/>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H</w: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B-20耐腐蚀隔膜泵</w:t>
                      </w:r>
                    </w:p>
                  </w:txbxContent>
                </v:textbox>
                <w10:wrap type="topAndBottom"/>
              </v:shape>
            </w:pict>
          </mc:Fallback>
        </mc:AlternateContent>
      </w:r>
      <w:r>
        <w:rPr>
          <w:sz w:val="30"/>
        </w:rPr>
        <w:drawing>
          <wp:inline distT="0" distB="0" distL="114300" distR="114300">
            <wp:extent cx="2661920" cy="2661920"/>
            <wp:effectExtent l="0" t="0" r="5080" b="5080"/>
            <wp:docPr id="2" name="图片 2" descr="H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B-20"/>
                    <pic:cNvPicPr>
                      <a:picLocks noChangeAspect="1"/>
                    </pic:cNvPicPr>
                  </pic:nvPicPr>
                  <pic:blipFill>
                    <a:blip r:embed="rId6"/>
                    <a:stretch>
                      <a:fillRect/>
                    </a:stretch>
                  </pic:blipFill>
                  <pic:spPr>
                    <a:xfrm>
                      <a:off x="0" y="0"/>
                      <a:ext cx="2661920" cy="2661920"/>
                    </a:xfrm>
                    <a:prstGeom prst="rect">
                      <a:avLst/>
                    </a:prstGeom>
                  </pic:spPr>
                </pic:pic>
              </a:graphicData>
            </a:graphic>
          </wp:inline>
        </w:drawing>
      </w:r>
      <w:bookmarkStart w:id="0" w:name="_GoBack"/>
      <w:bookmarkEnd w:id="0"/>
    </w:p>
    <w:p>
      <w:pPr>
        <w:numPr>
          <w:ilvl w:val="0"/>
          <w:numId w:val="0"/>
        </w:numPr>
        <w:tabs>
          <w:tab w:val="left" w:pos="7161"/>
        </w:tabs>
        <w:ind w:leftChars="0"/>
        <w:jc w:val="both"/>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77696" behindDoc="1" locked="0" layoutInCell="1" allowOverlap="1">
                <wp:simplePos x="0" y="0"/>
                <wp:positionH relativeFrom="column">
                  <wp:posOffset>-77470</wp:posOffset>
                </wp:positionH>
                <wp:positionV relativeFrom="paragraph">
                  <wp:posOffset>981075</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1pt;margin-top:77.25pt;height:0.3pt;width:415.15pt;z-index:-251638784;mso-width-relative:page;mso-height-relative:page;" filled="f" stroked="t" coordsize="21600,21600" o:gfxdata="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osMJbYAAAACwEAAA8AAAAAAAAAAQAgAAAA&#10;IgAAAGRycy9kb3ducmV2LnhtbFBLAQIUABQAAAAIAIdO4kA3IArY0gEAAGcDAAAOAAAAAAAAAAEA&#10;IAAAACcBAABkcnMvZTJvRG9jLnhtbFBLBQYAAAAABgAGAFkBAABrBQAAAAA=&#10;">
                <v:fill on="f" focussize="0,0"/>
                <v:stroke weight="1.5pt" color="#4472C4 [3204]" miterlimit="8" joinstyle="miter"/>
                <v:imagedata o:title=""/>
                <o:lock v:ext="edit" aspectratio="f"/>
              </v:line>
            </w:pict>
          </mc:Fallback>
        </mc:AlternateContent>
      </w:r>
      <w:r>
        <w:rPr>
          <w:rFonts w:hint="eastAsia" w:ascii="宋体" w:hAnsi="宋体" w:eastAsia="宋体" w:cs="Times New Roman"/>
          <w:b/>
          <w:color w:val="2F5597" w:themeColor="accent1" w:themeShade="BF"/>
          <w:sz w:val="30"/>
          <w:szCs w:val="30"/>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b/>
                                <w:bCs/>
                                <w:color w:val="4472C4" w:themeColor="accent1"/>
                                <w:sz w:val="72"/>
                                <w:szCs w:val="72"/>
                                <w:lang w:val="en-US" w:eastAsia="zh-CN"/>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cwaHDb&#10;AAAACgEAAA8AAAAAAAAAAQAgAAAAIgAAAGRycy9kb3ducmV2LnhtbFBLAQIUABQAAAAIAIdO4kBP&#10;HOOhHQIAABgEAAAOAAAAAAAAAAEAIAAAACoBAABkcnMvZTJvRG9jLnhtbFBLBQYAAAAABgAGAFkB&#10;AAC5BQAAAAA=&#10;">
                <v:fill on="f" focussize="0,0"/>
                <v:stroke on="f" weight="0.5pt"/>
                <v:imagedata o:title=""/>
                <o:lock v:ext="edit" aspectratio="f"/>
                <v:textbox>
                  <w:txbxContent>
                    <w:p>
                      <w:pPr>
                        <w:rPr>
                          <w:rFonts w:hint="eastAsia" w:eastAsia="宋体"/>
                          <w:b/>
                          <w:bCs/>
                          <w:color w:val="4472C4" w:themeColor="accent1"/>
                          <w:sz w:val="72"/>
                          <w:szCs w:val="72"/>
                          <w:lang w:val="en-US" w:eastAsia="zh-CN"/>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1、</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产品</w:t>
      </w:r>
      <w:r>
        <w:rPr>
          <w:rFonts w:hint="eastAsia"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应用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hint="eastAsia" w:ascii="宋体" w:hAnsi="宋体" w:eastAsia="宋体" w:cs="Times New Roman"/>
          <w:color w:val="2F5597" w:themeColor="accent1" w:themeShade="BF"/>
          <w:sz w:val="24"/>
          <w:szCs w:val="24"/>
        </w:rPr>
      </w:pPr>
      <w:r>
        <w:rPr>
          <w:rFonts w:hint="eastAsia" w:ascii="宋体" w:hAnsi="宋体" w:eastAsia="宋体" w:cs="Times New Roman"/>
          <w:color w:val="2F5597" w:themeColor="accent1" w:themeShade="BF"/>
          <w:sz w:val="24"/>
          <w:szCs w:val="24"/>
        </w:rPr>
        <w:t>耐腐蚀真空隔膜泵是一款介质为气体的双级泵，所有与气体接触部分均为聚四氟乙烯（PTFE）材料，耐腐蚀程度高，适用范围广，可完全替代水循环泵，适合于化学，制药，石化等行业对腐蚀性气体的处理，如油滤，减压蒸馏，旋转蒸发，真空浓缩，离心浓缩，固体萃取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hint="eastAsia" w:ascii="宋体" w:hAnsi="宋体" w:eastAsia="宋体" w:cs="Times New Roman"/>
          <w:color w:val="2F5597" w:themeColor="accent1" w:themeShade="BF"/>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textAlignment w:val="auto"/>
        <w:outlineLvl w:val="9"/>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67456"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49024;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VKiStYAAAAIAQAADwAAAAAA&#10;AAABACAAAAAiAAAAZHJzL2Rvd25yZXYueG1sUEsBAhQAFAAAAAgAh07iQHBGzTrcAQAAcQMAAA4A&#10;AAAAAAAAAQAgAAAAJQEAAGRycy9lMm9Eb2MueG1sUEsFBgAAAAAGAAYAWQEAAHMFAAAAAA==&#10;">
                <v:fill on="f" focussize="0,0"/>
                <v:stroke weight="1.5pt" color="#4472C4 [3204]" miterlimit="8" joinstyle="miter"/>
                <v:imagedata o:title=""/>
                <o:lock v:ext="edit" aspectratio="f"/>
              </v:line>
            </w:pict>
          </mc:Fallback>
        </mc:AlternateConten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2、</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产品特点</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抗强化学腐蚀：耐腐蚀真空泵使用了特殊的隔膜 ( 膜片表面复合 PTFE 涂层 ) 和泵头设计，包括全部接头和管路，保证与气体接触的部分均为进口 PTFE 材料，因此可耐大部分具有腐蚀性的气体；同时电器开关及外壳也做防蚀处理，特别是对传动机构和电路部分使用耐腐蚀材料形成密闭空间，与外界环境彻底隔绝，使真空泵不仅能耐腐蚀性介质，还能完美的适用于腐蚀性环境中，完全解决了真空泵的耐化学腐蚀问题 ;</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无污染、免保养：隔膜真空泵可实现溶剂完全回收，消除有毒有害的有机溶剂对环境的污染和对操作者及附近人员的身体健康的危害，即使混合溶剂也能高度回收利用；隔膜泵是无水无油的干泵，让实验室变得洁净和安静，使用者无需定期清洁、换管、换水等维护工作，隔膜真空泵做到了 100% 免维护 ;</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低噪音、低震动：耐腐蚀真空泵采用电动机直驱式动力传输，无中间传动件，再加上隔膜低冲程、低噪音的特性，因此产品噪音能保持在 70dB 以下;</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过热保护：每个产品均装有温度保护开关，当机体内部温度过高时会自动停机，等温度冷却后再自行启动，保证系统工作的稳定性及安全性 ;</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宋体"/>
          <w:color w:val="2F5597" w:themeColor="accent1" w:themeShade="BF"/>
          <w:kern w:val="2"/>
          <w:sz w:val="24"/>
          <w:szCs w:val="24"/>
          <w:lang w:val="en-US" w:eastAsia="zh-CN" w:bidi="ar-SA"/>
        </w:rPr>
      </w:pPr>
    </w:p>
    <w:p>
      <w:pPr>
        <w:pStyle w:val="10"/>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color w:val="2F5597" w:themeColor="accent1" w:themeShade="BF"/>
          <w:kern w:val="2"/>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kern w:val="2"/>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技术参数</w:t>
      </w:r>
    </w:p>
    <w:tbl>
      <w:tblPr>
        <w:tblStyle w:val="15"/>
        <w:tblW w:w="8581" w:type="dxa"/>
        <w:jc w:val="center"/>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3736"/>
        <w:gridCol w:w="4845"/>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型号</w:t>
            </w:r>
          </w:p>
        </w:tc>
        <w:tc>
          <w:tcPr>
            <w:tcW w:w="4845"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HB-20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额定电压/频率</w:t>
            </w:r>
          </w:p>
        </w:tc>
        <w:tc>
          <w:tcPr>
            <w:tcW w:w="4845"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220V/50HZ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额定功率</w:t>
            </w:r>
          </w:p>
        </w:tc>
        <w:tc>
          <w:tcPr>
            <w:tcW w:w="4845"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120W</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泵头类型</w:t>
            </w:r>
          </w:p>
        </w:tc>
        <w:tc>
          <w:tcPr>
            <w:tcW w:w="4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双级泵</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极限真空度</w:t>
            </w:r>
          </w:p>
        </w:tc>
        <w:tc>
          <w:tcPr>
            <w:tcW w:w="4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6-8mbar</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最大操作压力</w:t>
            </w:r>
          </w:p>
        </w:tc>
        <w:tc>
          <w:tcPr>
            <w:tcW w:w="4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1bar</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最大流量</w:t>
            </w:r>
          </w:p>
        </w:tc>
        <w:tc>
          <w:tcPr>
            <w:tcW w:w="4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20L/min</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接口规格</w:t>
            </w:r>
          </w:p>
        </w:tc>
        <w:tc>
          <w:tcPr>
            <w:tcW w:w="4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10mm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介质和环境温度</w:t>
            </w:r>
          </w:p>
        </w:tc>
        <w:tc>
          <w:tcPr>
            <w:tcW w:w="4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5~40℃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环境相对湿度</w:t>
            </w:r>
          </w:p>
        </w:tc>
        <w:tc>
          <w:tcPr>
            <w:tcW w:w="4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＜80%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泵头材料</w:t>
            </w:r>
          </w:p>
        </w:tc>
        <w:tc>
          <w:tcPr>
            <w:tcW w:w="4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PTFE</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复合膜片材料</w:t>
            </w:r>
          </w:p>
        </w:tc>
        <w:tc>
          <w:tcPr>
            <w:tcW w:w="4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HNBR+PTFE( 可根据客户要求订制非标产品 )</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阀片材料</w:t>
            </w:r>
          </w:p>
        </w:tc>
        <w:tc>
          <w:tcPr>
            <w:tcW w:w="4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FKM、FFPM( 可根据客户要求订制非标产品 )</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真空表</w:t>
            </w:r>
          </w:p>
        </w:tc>
        <w:tc>
          <w:tcPr>
            <w:tcW w:w="4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无真空调节阀</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固体排料阀</w:t>
            </w:r>
          </w:p>
        </w:tc>
        <w:tc>
          <w:tcPr>
            <w:tcW w:w="4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不</w:t>
            </w:r>
            <w:r>
              <w:rPr>
                <w:rFonts w:hint="eastAsia" w:ascii="宋体" w:hAnsi="宋体" w:eastAsia="宋体" w:cs="Times New Roman"/>
                <w:color w:val="2F5597" w:themeColor="accent1" w:themeShade="BF"/>
                <w:sz w:val="24"/>
                <w:szCs w:val="24"/>
                <w:lang w:val="en-US" w:eastAsia="zh-CN"/>
              </w:rPr>
              <w:t>带</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工作制</w:t>
            </w:r>
          </w:p>
        </w:tc>
        <w:tc>
          <w:tcPr>
            <w:tcW w:w="4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连续工作</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噪音</w:t>
            </w:r>
          </w:p>
        </w:tc>
        <w:tc>
          <w:tcPr>
            <w:tcW w:w="4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 55db</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额定转速</w:t>
            </w:r>
          </w:p>
        </w:tc>
        <w:tc>
          <w:tcPr>
            <w:tcW w:w="4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1450 rpm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外形尺寸</w:t>
            </w:r>
          </w:p>
        </w:tc>
        <w:tc>
          <w:tcPr>
            <w:tcW w:w="4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315*165*210mm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重量</w:t>
            </w:r>
          </w:p>
        </w:tc>
        <w:tc>
          <w:tcPr>
            <w:tcW w:w="4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eastAsia="宋体" w:cs="Times New Roman"/>
                <w:color w:val="2F5597" w:themeColor="accent1" w:themeShade="BF"/>
                <w:sz w:val="24"/>
                <w:szCs w:val="24"/>
                <w:lang w:val="en-US" w:eastAsia="zh-CN"/>
              </w:rPr>
              <w:t>9.6kg</w:t>
            </w:r>
          </w:p>
        </w:tc>
      </w:tr>
    </w:tbl>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宋体" w:hAnsi="宋体" w:cs="Times New Roman"/>
          <w:b/>
          <w:color w:val="2F5597" w:themeColor="accent1" w:themeShade="BF"/>
          <w:kern w:val="2"/>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0" w:leftChars="0"/>
        <w:jc w:val="both"/>
        <w:textAlignment w:val="auto"/>
        <w:outlineLvl w:val="9"/>
        <w:rPr>
          <w:rFonts w:hint="eastAsia" w:ascii="宋体" w:hAnsi="宋体" w:cs="Times New Roman"/>
          <w:b/>
          <w:color w:val="2F5597" w:themeColor="accent1" w:themeShade="BF"/>
          <w:kern w:val="2"/>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cs="Times New Roman"/>
          <w:b/>
          <w:color w:val="2F5597" w:themeColor="accent1" w:themeShade="BF"/>
          <w:kern w:val="2"/>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装箱清单</w:t>
      </w:r>
    </w:p>
    <w:tbl>
      <w:tblPr>
        <w:tblStyle w:val="15"/>
        <w:tblW w:w="8581" w:type="dxa"/>
        <w:jc w:val="center"/>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3736"/>
        <w:gridCol w:w="4845"/>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名称</w:t>
            </w:r>
          </w:p>
        </w:tc>
        <w:tc>
          <w:tcPr>
            <w:tcW w:w="4845"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隔膜泵</w:t>
            </w:r>
          </w:p>
        </w:tc>
        <w:tc>
          <w:tcPr>
            <w:tcW w:w="4845"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1台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电源线</w:t>
            </w:r>
          </w:p>
        </w:tc>
        <w:tc>
          <w:tcPr>
            <w:tcW w:w="4845"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1根</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合格证（含保修卡）</w:t>
            </w:r>
          </w:p>
        </w:tc>
        <w:tc>
          <w:tcPr>
            <w:tcW w:w="4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说明书</w:t>
            </w:r>
          </w:p>
        </w:tc>
        <w:tc>
          <w:tcPr>
            <w:tcW w:w="4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1份</w:t>
            </w:r>
          </w:p>
        </w:tc>
      </w:tr>
    </w:tbl>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both"/>
        <w:textAlignment w:val="auto"/>
        <w:outlineLvl w:val="9"/>
        <w:rPr>
          <w:rFonts w:hint="eastAsia" w:ascii="宋体" w:hAnsi="宋体" w:cs="Times New Roman"/>
          <w:b/>
          <w:color w:val="2F5597" w:themeColor="accent1" w:themeShade="BF"/>
          <w:kern w:val="2"/>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both"/>
        <w:textAlignment w:val="auto"/>
        <w:outlineLvl w:val="9"/>
        <w:rPr>
          <w:rFonts w:hint="eastAsia" w:ascii="宋体" w:hAnsi="宋体" w:cs="Times New Roman"/>
          <w:b/>
          <w:color w:val="2F5597" w:themeColor="accent1" w:themeShade="BF"/>
          <w:kern w:val="2"/>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sectPr>
      <w:headerReference r:id="rId3" w:type="default"/>
      <w:footerReference r:id="rId4" w:type="default"/>
      <w:pgSz w:w="11906" w:h="16838"/>
      <w:pgMar w:top="1440" w:right="1800" w:bottom="1440" w:left="1800" w:header="850" w:footer="964"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A0000287" w:usb1="28CF3C52" w:usb2="00000016" w:usb3="00000000" w:csb0="0004001F" w:csb1="00000000"/>
  </w:font>
  <w:font w:name="Comic Sans MS">
    <w:panose1 w:val="030F0702030302020204"/>
    <w:charset w:val="00"/>
    <w:family w:val="auto"/>
    <w:pitch w:val="default"/>
    <w:sig w:usb0="00000287" w:usb1="40000013"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jc w:val="both"/>
      <w:rPr>
        <w:rFonts w:hint="eastAsia" w:ascii="宋体" w:hAnsi="宋体" w:eastAsia="宋体" w:cs="宋体"/>
        <w:color w:val="181717" w:themeColor="background2" w:themeShade="1A"/>
        <w:sz w:val="18"/>
        <w:szCs w:val="18"/>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rPr>
        <w:rFonts w:ascii="微软雅黑" w:hAnsi="微软雅黑" w:eastAsia="微软雅黑" w:cs="微软雅黑"/>
        <w:i w:val="0"/>
        <w:caps w:val="0"/>
        <w:color w:val="959FE7"/>
        <w:spacing w:val="0"/>
        <w:sz w:val="18"/>
        <w:szCs w:val="18"/>
        <w:lang w:val="en-US"/>
      </w:rPr>
    </w:pPr>
  </w:p>
  <w:p>
    <w:pPr>
      <w:pStyle w:val="8"/>
      <w:ind w:firstLine="960" w:firstLineChars="400"/>
      <w:rPr>
        <w:rFonts w:hint="eastAsia" w:eastAsia="宋体"/>
        <w:sz w:val="24"/>
        <w:szCs w:val="24"/>
        <w:lang w:val="en-US" w:eastAsia="zh-CN"/>
        <w14:textOutline w14:w="12700" w14:cmpd="sng">
          <w14:solidFill>
            <w14:schemeClr w14:val="accent1">
              <w14:alpha w14:val="0"/>
            </w14:schemeClr>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pBdr>
        <w:bottom w:val="none" w:color="auto" w:sz="0" w:space="0"/>
      </w:pBdr>
      <w:kinsoku/>
      <w:wordWrap/>
      <w:overflowPunct/>
      <w:topLinePunct w:val="0"/>
      <w:autoSpaceDE/>
      <w:autoSpaceDN/>
      <w:bidi w:val="0"/>
      <w:adjustRightInd/>
      <w:snapToGrid/>
      <w:spacing w:line="240" w:lineRule="atLeast"/>
      <w:jc w:val="center"/>
      <w:textAlignment w:val="auto"/>
      <w:outlineLvl w:val="9"/>
      <w:rPr>
        <w:rFonts w:hint="eastAsia"/>
        <w:b/>
        <w:bCs/>
        <w:color w:val="203864" w:themeColor="accent1" w:themeShade="80"/>
        <w:sz w:val="32"/>
        <w:szCs w:val="32"/>
        <w:u w:val="none"/>
      </w:rPr>
    </w:pPr>
    <w:r>
      <w:rPr>
        <w:rFonts w:hint="eastAsia"/>
        <w:b/>
        <w:sz w:val="44"/>
        <w:szCs w:val="44"/>
      </w:rPr>
      <w:drawing>
        <wp:anchor distT="0" distB="0" distL="114300" distR="114300" simplePos="0" relativeHeight="251658240" behindDoc="0" locked="0" layoutInCell="1" allowOverlap="1">
          <wp:simplePos x="0" y="0"/>
          <wp:positionH relativeFrom="margin">
            <wp:posOffset>533400</wp:posOffset>
          </wp:positionH>
          <wp:positionV relativeFrom="paragraph">
            <wp:posOffset>-111125</wp:posOffset>
          </wp:positionV>
          <wp:extent cx="933450" cy="838200"/>
          <wp:effectExtent l="0" t="0" r="0" b="0"/>
          <wp:wrapThrough wrapText="bothSides">
            <wp:wrapPolygon>
              <wp:start x="0" y="0"/>
              <wp:lineTo x="0" y="21109"/>
              <wp:lineTo x="21159" y="21109"/>
              <wp:lineTo x="21159"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3450" cy="838200"/>
                  </a:xfrm>
                  <a:prstGeom prst="rect">
                    <a:avLst/>
                  </a:prstGeom>
                </pic:spPr>
              </pic:pic>
            </a:graphicData>
          </a:graphic>
        </wp:anchor>
      </w:drawing>
    </w:r>
  </w:p>
  <w:p>
    <w:pPr>
      <w:pStyle w:val="9"/>
      <w:pBdr>
        <w:bottom w:val="none" w:color="auto" w:sz="0" w:space="1"/>
      </w:pBdr>
      <w:tabs>
        <w:tab w:val="center" w:pos="4153"/>
        <w:tab w:val="right" w:pos="8306"/>
      </w:tabs>
      <w:jc w:val="center"/>
      <w:rPr>
        <w:rFonts w:hint="eastAsia"/>
        <w:b/>
        <w:color w:val="203864" w:themeColor="accent1" w:themeShade="80"/>
        <w:sz w:val="30"/>
        <w:szCs w:val="30"/>
        <w:u w:val="none"/>
        <w:lang w:val="en-US" w:eastAsia="zh-CN"/>
      </w:rPr>
    </w:pPr>
    <w:r>
      <w:rPr>
        <w:rFonts w:hint="eastAsia"/>
        <w:b/>
        <w:color w:val="203864" w:themeColor="accent1" w:themeShade="80"/>
        <w:sz w:val="30"/>
        <w:szCs w:val="30"/>
        <w:u w:val="none"/>
        <w:lang w:val="en-US" w:eastAsia="zh-CN"/>
      </w:rPr>
      <w:t xml:space="preserve"> 上海沪析实业有限公司</w:t>
    </w:r>
  </w:p>
  <w:p>
    <w:pPr>
      <w:pStyle w:val="9"/>
      <w:pBdr>
        <w:bottom w:val="none" w:color="auto" w:sz="0" w:space="1"/>
      </w:pBdr>
      <w:tabs>
        <w:tab w:val="center" w:pos="4153"/>
        <w:tab w:val="right" w:pos="8306"/>
      </w:tabs>
      <w:ind w:firstLine="2530" w:firstLineChars="1400"/>
      <w:jc w:val="both"/>
      <w:rPr>
        <w:rFonts w:hint="eastAsia"/>
        <w:b/>
        <w:color w:val="203864" w:themeColor="accent1" w:themeShade="80"/>
        <w:sz w:val="18"/>
        <w:szCs w:val="18"/>
        <w:u w:val="none"/>
      </w:rPr>
    </w:pPr>
    <w:r>
      <w:rPr>
        <w:rFonts w:hint="eastAsia"/>
        <w:b/>
        <w:bCs/>
        <w:color w:val="203864" w:themeColor="accent1" w:themeShade="80"/>
        <w:kern w:val="0"/>
        <w:sz w:val="18"/>
        <w:szCs w:val="18"/>
        <w:u w:val="none"/>
        <w:lang w:val="en-US" w:eastAsia="zh-CN"/>
      </w:rPr>
      <w:t xml:space="preserve">SHANGHAI HUXI INDUSTRIAL </w:t>
    </w:r>
    <w:r>
      <w:rPr>
        <w:b/>
        <w:bCs/>
        <w:color w:val="203864" w:themeColor="accent1" w:themeShade="80"/>
        <w:kern w:val="0"/>
        <w:sz w:val="18"/>
        <w:szCs w:val="18"/>
        <w:u w:val="none"/>
      </w:rPr>
      <w:t>CO.,LTD.</w:t>
    </w:r>
  </w:p>
  <w:p>
    <w:pPr>
      <w:pBdr>
        <w:bottom w:val="none" w:color="auto" w:sz="0" w:space="0"/>
      </w:pBd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CA222D"/>
    <w:multiLevelType w:val="singleLevel"/>
    <w:tmpl w:val="D1CA222D"/>
    <w:lvl w:ilvl="0" w:tentative="0">
      <w:start w:val="1"/>
      <w:numFmt w:val="decimal"/>
      <w:lvlText w:val="%1."/>
      <w:lvlJc w:val="left"/>
      <w:pPr>
        <w:ind w:left="425" w:hanging="425"/>
      </w:pPr>
      <w:rPr>
        <w:rFonts w:hint="default"/>
      </w:rPr>
    </w:lvl>
  </w:abstractNum>
  <w:abstractNum w:abstractNumId="1">
    <w:nsid w:val="F17C6DD8"/>
    <w:multiLevelType w:val="singleLevel"/>
    <w:tmpl w:val="F17C6DD8"/>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B6"/>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9114D"/>
    <w:rsid w:val="00741072"/>
    <w:rsid w:val="007650E0"/>
    <w:rsid w:val="007A51F4"/>
    <w:rsid w:val="00854961"/>
    <w:rsid w:val="008B2ECB"/>
    <w:rsid w:val="00955DE4"/>
    <w:rsid w:val="0098299C"/>
    <w:rsid w:val="00990FAD"/>
    <w:rsid w:val="009E7CF6"/>
    <w:rsid w:val="00A4672B"/>
    <w:rsid w:val="00A94E0D"/>
    <w:rsid w:val="00AA4A1B"/>
    <w:rsid w:val="00AA5CBF"/>
    <w:rsid w:val="00B61697"/>
    <w:rsid w:val="00B839ED"/>
    <w:rsid w:val="00BD42F1"/>
    <w:rsid w:val="00C47428"/>
    <w:rsid w:val="00C83139"/>
    <w:rsid w:val="00DA0404"/>
    <w:rsid w:val="00DA6A09"/>
    <w:rsid w:val="00E15CAB"/>
    <w:rsid w:val="00E2271A"/>
    <w:rsid w:val="00E54BE6"/>
    <w:rsid w:val="00E610B3"/>
    <w:rsid w:val="00E62DD8"/>
    <w:rsid w:val="00E900EE"/>
    <w:rsid w:val="00EC783E"/>
    <w:rsid w:val="00EF22FA"/>
    <w:rsid w:val="00EF585C"/>
    <w:rsid w:val="00EF60B7"/>
    <w:rsid w:val="00FE197F"/>
    <w:rsid w:val="017212D3"/>
    <w:rsid w:val="02AA71DB"/>
    <w:rsid w:val="02D933F4"/>
    <w:rsid w:val="02F87F3E"/>
    <w:rsid w:val="03F258F4"/>
    <w:rsid w:val="04E918A9"/>
    <w:rsid w:val="0692734F"/>
    <w:rsid w:val="07553E41"/>
    <w:rsid w:val="087C4751"/>
    <w:rsid w:val="091F1204"/>
    <w:rsid w:val="0A184A29"/>
    <w:rsid w:val="0A366F57"/>
    <w:rsid w:val="0A965B96"/>
    <w:rsid w:val="0D357943"/>
    <w:rsid w:val="10C02CE0"/>
    <w:rsid w:val="10E60B82"/>
    <w:rsid w:val="11385EB2"/>
    <w:rsid w:val="117D1E52"/>
    <w:rsid w:val="12F323D9"/>
    <w:rsid w:val="13377D20"/>
    <w:rsid w:val="162626F1"/>
    <w:rsid w:val="163338FF"/>
    <w:rsid w:val="167836D1"/>
    <w:rsid w:val="16855545"/>
    <w:rsid w:val="16A71820"/>
    <w:rsid w:val="18711AC3"/>
    <w:rsid w:val="1886336C"/>
    <w:rsid w:val="1976192B"/>
    <w:rsid w:val="1A4C7833"/>
    <w:rsid w:val="1AB80B3F"/>
    <w:rsid w:val="1B871C86"/>
    <w:rsid w:val="1C4A28F1"/>
    <w:rsid w:val="1C8D4EFF"/>
    <w:rsid w:val="1E486378"/>
    <w:rsid w:val="1F995798"/>
    <w:rsid w:val="2159429D"/>
    <w:rsid w:val="216A23E2"/>
    <w:rsid w:val="22E601DB"/>
    <w:rsid w:val="23243285"/>
    <w:rsid w:val="241D3C4F"/>
    <w:rsid w:val="246A0583"/>
    <w:rsid w:val="24AE6CFC"/>
    <w:rsid w:val="295A600F"/>
    <w:rsid w:val="2A602115"/>
    <w:rsid w:val="2A847618"/>
    <w:rsid w:val="2AC31D90"/>
    <w:rsid w:val="2BE36FED"/>
    <w:rsid w:val="2C2B4AD0"/>
    <w:rsid w:val="2C936415"/>
    <w:rsid w:val="2C9B276D"/>
    <w:rsid w:val="2CBC35B2"/>
    <w:rsid w:val="2D270418"/>
    <w:rsid w:val="2D9E504D"/>
    <w:rsid w:val="2DBB4423"/>
    <w:rsid w:val="2E5E5B1C"/>
    <w:rsid w:val="30667F5E"/>
    <w:rsid w:val="32494755"/>
    <w:rsid w:val="34121BAC"/>
    <w:rsid w:val="348346E6"/>
    <w:rsid w:val="348E7F12"/>
    <w:rsid w:val="35B92EB0"/>
    <w:rsid w:val="36585CBC"/>
    <w:rsid w:val="36E10A24"/>
    <w:rsid w:val="3A045A6B"/>
    <w:rsid w:val="3A542ACC"/>
    <w:rsid w:val="3ABF1760"/>
    <w:rsid w:val="3C5E63A4"/>
    <w:rsid w:val="3DA6127B"/>
    <w:rsid w:val="3DEB6E30"/>
    <w:rsid w:val="3E2B5E06"/>
    <w:rsid w:val="40764144"/>
    <w:rsid w:val="410B44C7"/>
    <w:rsid w:val="43EA5F2F"/>
    <w:rsid w:val="442711AA"/>
    <w:rsid w:val="45865297"/>
    <w:rsid w:val="46C422AC"/>
    <w:rsid w:val="498B526A"/>
    <w:rsid w:val="4A527F2C"/>
    <w:rsid w:val="4AA4627F"/>
    <w:rsid w:val="4ADC76DB"/>
    <w:rsid w:val="4CA81950"/>
    <w:rsid w:val="4D4E77F2"/>
    <w:rsid w:val="4DD6232A"/>
    <w:rsid w:val="4E931B10"/>
    <w:rsid w:val="4FD73045"/>
    <w:rsid w:val="51C771E3"/>
    <w:rsid w:val="51F9487C"/>
    <w:rsid w:val="52EE746C"/>
    <w:rsid w:val="5452446D"/>
    <w:rsid w:val="563C7D3B"/>
    <w:rsid w:val="567A4548"/>
    <w:rsid w:val="576F688D"/>
    <w:rsid w:val="5826783E"/>
    <w:rsid w:val="58926505"/>
    <w:rsid w:val="58C6092D"/>
    <w:rsid w:val="58F34817"/>
    <w:rsid w:val="591C6583"/>
    <w:rsid w:val="594D1214"/>
    <w:rsid w:val="59AB3574"/>
    <w:rsid w:val="5BDA755D"/>
    <w:rsid w:val="5DDC6E97"/>
    <w:rsid w:val="5ECB53B5"/>
    <w:rsid w:val="607225C9"/>
    <w:rsid w:val="608B6872"/>
    <w:rsid w:val="61FA2450"/>
    <w:rsid w:val="624F31B6"/>
    <w:rsid w:val="626F460D"/>
    <w:rsid w:val="62737F03"/>
    <w:rsid w:val="62BD7680"/>
    <w:rsid w:val="63B80222"/>
    <w:rsid w:val="64BB3B0A"/>
    <w:rsid w:val="65173864"/>
    <w:rsid w:val="67074C35"/>
    <w:rsid w:val="67B86FD5"/>
    <w:rsid w:val="68CC736B"/>
    <w:rsid w:val="69A05A18"/>
    <w:rsid w:val="6AB4227F"/>
    <w:rsid w:val="6B3B6611"/>
    <w:rsid w:val="6B5251F4"/>
    <w:rsid w:val="6B6C7258"/>
    <w:rsid w:val="6BA7011A"/>
    <w:rsid w:val="6DFB560B"/>
    <w:rsid w:val="6F17421F"/>
    <w:rsid w:val="6F7B3153"/>
    <w:rsid w:val="6F975B11"/>
    <w:rsid w:val="71E561F0"/>
    <w:rsid w:val="73587C07"/>
    <w:rsid w:val="737F1A45"/>
    <w:rsid w:val="73974732"/>
    <w:rsid w:val="74A64C8E"/>
    <w:rsid w:val="75EA64FF"/>
    <w:rsid w:val="76E353C5"/>
    <w:rsid w:val="77C15694"/>
    <w:rsid w:val="78323E75"/>
    <w:rsid w:val="78F84331"/>
    <w:rsid w:val="79FB6B36"/>
    <w:rsid w:val="7A61311F"/>
    <w:rsid w:val="7A664B08"/>
    <w:rsid w:val="7AA2317C"/>
    <w:rsid w:val="7B965710"/>
    <w:rsid w:val="7CAD3559"/>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6">
    <w:name w:val="Light Grid Accent 5"/>
    <w:basedOn w:val="14"/>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customStyle="1" w:styleId="17">
    <w:name w:val="页脚 Char"/>
    <w:basedOn w:val="11"/>
    <w:link w:val="8"/>
    <w:qFormat/>
    <w:uiPriority w:val="99"/>
    <w:rPr>
      <w:sz w:val="18"/>
      <w:szCs w:val="18"/>
    </w:rPr>
  </w:style>
  <w:style w:type="character" w:customStyle="1" w:styleId="18">
    <w:name w:val="标题 1 Char"/>
    <w:basedOn w:val="11"/>
    <w:link w:val="2"/>
    <w:qFormat/>
    <w:uiPriority w:val="9"/>
    <w:rPr>
      <w:rFonts w:ascii="宋体" w:hAnsi="宋体" w:eastAsia="宋体" w:cs="宋体"/>
      <w:b/>
      <w:bCs/>
      <w:kern w:val="36"/>
      <w:sz w:val="48"/>
      <w:szCs w:val="48"/>
    </w:rPr>
  </w:style>
  <w:style w:type="character" w:customStyle="1" w:styleId="19">
    <w:name w:val="批注框文本 Char"/>
    <w:basedOn w:val="11"/>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9C3209-937D-4768-B014-3599857623AB}">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152</Words>
  <Characters>870</Characters>
  <Lines>7</Lines>
  <Paragraphs>2</Paragraphs>
  <ScaleCrop>false</ScaleCrop>
  <LinksUpToDate>false</LinksUpToDate>
  <CharactersWithSpaces>1020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张慧慧</cp:lastModifiedBy>
  <dcterms:modified xsi:type="dcterms:W3CDTF">2021-08-24T03:57:21Z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